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CFF73" w14:textId="77777777" w:rsidR="00C26542" w:rsidRPr="001E14C8" w:rsidRDefault="00C26542" w:rsidP="00093DC7">
      <w:pPr>
        <w:pStyle w:val="Title"/>
        <w:spacing w:after="240"/>
      </w:pPr>
      <w:r w:rsidRPr="001E14C8">
        <w:t>TECHNOLOGY ASSIGNMENT AGREEMENT</w:t>
      </w:r>
    </w:p>
    <w:p w14:paraId="4C30AD3A" w14:textId="130CD603" w:rsidR="00C26542" w:rsidRPr="001E14C8" w:rsidRDefault="00C26542" w:rsidP="00093DC7">
      <w:pPr>
        <w:pStyle w:val="Bod"/>
        <w:ind w:firstLine="720"/>
      </w:pPr>
      <w:r w:rsidRPr="001E14C8">
        <w:t xml:space="preserve">This Agreement is entered as of </w:t>
      </w:r>
      <w:r w:rsidR="00FE28A3" w:rsidRPr="001E14C8">
        <w:t>_________</w:t>
      </w:r>
      <w:r w:rsidR="00093DC7" w:rsidRPr="001E14C8">
        <w:t xml:space="preserve"> </w:t>
      </w:r>
      <w:r w:rsidR="00FE28A3" w:rsidRPr="001E14C8">
        <w:t>___</w:t>
      </w:r>
      <w:r w:rsidR="00093DC7" w:rsidRPr="001E14C8">
        <w:t xml:space="preserve">, </w:t>
      </w:r>
      <w:r w:rsidR="00F34FBC" w:rsidRPr="001E14C8">
        <w:t>20</w:t>
      </w:r>
      <w:r w:rsidR="00FE28A3" w:rsidRPr="001E14C8">
        <w:t>___</w:t>
      </w:r>
      <w:r w:rsidRPr="001E14C8">
        <w:t xml:space="preserve"> between</w:t>
      </w:r>
      <w:r w:rsidR="00093DC7" w:rsidRPr="001E14C8">
        <w:t xml:space="preserve"> </w:t>
      </w:r>
      <w:r w:rsidR="00FE28A3" w:rsidRPr="001E14C8">
        <w:t>_____________</w:t>
      </w:r>
      <w:r w:rsidR="00093DC7" w:rsidRPr="001E14C8">
        <w:t xml:space="preserve">, Inc., </w:t>
      </w:r>
      <w:r w:rsidRPr="001E14C8">
        <w:t xml:space="preserve">a </w:t>
      </w:r>
      <w:r w:rsidR="00FE28A3" w:rsidRPr="001E14C8">
        <w:t>_____________</w:t>
      </w:r>
      <w:r w:rsidRPr="001E14C8">
        <w:t xml:space="preserve"> corporation (the </w:t>
      </w:r>
      <w:r w:rsidR="009F3904" w:rsidRPr="001E14C8">
        <w:t>“</w:t>
      </w:r>
      <w:r w:rsidRPr="001E14C8">
        <w:rPr>
          <w:u w:val="single"/>
        </w:rPr>
        <w:t>Company</w:t>
      </w:r>
      <w:r w:rsidR="009F3904" w:rsidRPr="001E14C8">
        <w:t>”</w:t>
      </w:r>
      <w:r w:rsidRPr="001E14C8">
        <w:t>), and</w:t>
      </w:r>
      <w:r w:rsidR="00F974EB" w:rsidRPr="001E14C8">
        <w:t xml:space="preserve"> </w:t>
      </w:r>
      <w:r w:rsidR="00FE28A3" w:rsidRPr="001E14C8">
        <w:t>________________</w:t>
      </w:r>
      <w:r w:rsidRPr="001E14C8">
        <w:t>, an individual (</w:t>
      </w:r>
      <w:r w:rsidR="009F3904" w:rsidRPr="001E14C8">
        <w:t>“</w:t>
      </w:r>
      <w:r w:rsidRPr="001E14C8">
        <w:rPr>
          <w:u w:val="single"/>
        </w:rPr>
        <w:t>Developer</w:t>
      </w:r>
      <w:r w:rsidR="009F3904" w:rsidRPr="001E14C8">
        <w:t>”</w:t>
      </w:r>
      <w:r w:rsidRPr="001E14C8">
        <w:t xml:space="preserve">).  </w:t>
      </w:r>
      <w:r w:rsidR="00E46DCE" w:rsidRPr="001E14C8">
        <w:t>The assignment and stock issuance hereunder is intended to qualify for tax free treatment under Internal Revenue Code Section 351.</w:t>
      </w:r>
    </w:p>
    <w:p w14:paraId="517C3A14" w14:textId="5D1F9971" w:rsidR="00163BF2" w:rsidRPr="001E14C8" w:rsidRDefault="00C26542" w:rsidP="00163BF2">
      <w:pPr>
        <w:pStyle w:val="Heading1"/>
        <w:ind w:firstLine="720"/>
      </w:pPr>
      <w:r w:rsidRPr="001E14C8">
        <w:rPr>
          <w:u w:val="single"/>
        </w:rPr>
        <w:t>Assignment</w:t>
      </w:r>
      <w:r w:rsidR="009F3904" w:rsidRPr="001E14C8">
        <w:t xml:space="preserve">.  </w:t>
      </w:r>
      <w:r w:rsidRPr="001E14C8">
        <w:t>Developer hereby assigns to the Company exclusively throughout the world all right, title and interest (whether or not now existing) in the (i) </w:t>
      </w:r>
      <w:r w:rsidR="0032381A" w:rsidRPr="001E14C8">
        <w:t xml:space="preserve">all plans, designs, software, technology, documents, inventions, </w:t>
      </w:r>
      <w:r w:rsidR="006A58D0" w:rsidRPr="001E14C8">
        <w:t xml:space="preserve">research, data, </w:t>
      </w:r>
      <w:r w:rsidR="0032381A" w:rsidRPr="001E14C8">
        <w:t xml:space="preserve">trade secrets, </w:t>
      </w:r>
      <w:r w:rsidR="006A58D0" w:rsidRPr="001E14C8">
        <w:t xml:space="preserve">and related matters useful in connection with the current or anticipated business of the Company </w:t>
      </w:r>
      <w:r w:rsidRPr="001E14C8">
        <w:t>(</w:t>
      </w:r>
      <w:r w:rsidR="00093DC7" w:rsidRPr="001E14C8">
        <w:t xml:space="preserve">the </w:t>
      </w:r>
      <w:r w:rsidR="009F3904" w:rsidRPr="001E14C8">
        <w:t>“</w:t>
      </w:r>
      <w:r w:rsidRPr="001E14C8">
        <w:rPr>
          <w:u w:val="single"/>
        </w:rPr>
        <w:t>Technology</w:t>
      </w:r>
      <w:r w:rsidR="009F3904" w:rsidRPr="001E14C8">
        <w:t>”</w:t>
      </w:r>
      <w:r w:rsidRPr="001E14C8">
        <w:t>), (ii) all precursors, portions and work in progress with respect thereto and all inventions, works of authorship, mask works, technology, information, know-how, materials and tools relating thereto or to the development, production, use, support or maintenance thereof</w:t>
      </w:r>
      <w:r w:rsidR="00093DC7" w:rsidRPr="001E14C8">
        <w:t>,</w:t>
      </w:r>
      <w:r w:rsidRPr="001E14C8">
        <w:t xml:space="preserve"> and (iii) all copyrights, patent rights, trade secret rights, trademark rights, mask works rights, </w:t>
      </w:r>
      <w:r w:rsidRPr="001E14C8">
        <w:rPr>
          <w:i/>
        </w:rPr>
        <w:t>sui generis</w:t>
      </w:r>
      <w:r w:rsidRPr="001E14C8">
        <w:t xml:space="preserve"> database rights and other intellectual property rights and all business, contract rights and goodwill in, incorporated or embodied in, used to develop or produce or use, or related to any of the foregoing ( (i), (ii) and (iii) are collectively </w:t>
      </w:r>
      <w:r w:rsidR="009F3904" w:rsidRPr="001E14C8">
        <w:t>“</w:t>
      </w:r>
      <w:r w:rsidRPr="001E14C8">
        <w:rPr>
          <w:u w:val="single"/>
        </w:rPr>
        <w:t>Intellectual Property</w:t>
      </w:r>
      <w:r w:rsidR="009F3904" w:rsidRPr="001E14C8">
        <w:t>”</w:t>
      </w:r>
      <w:r w:rsidRPr="001E14C8">
        <w:t>).</w:t>
      </w:r>
    </w:p>
    <w:p w14:paraId="58BB319C" w14:textId="37E7A42B" w:rsidR="00652D31" w:rsidRPr="001E14C8" w:rsidRDefault="00652D31" w:rsidP="00163BF2">
      <w:pPr>
        <w:pStyle w:val="Heading1"/>
        <w:ind w:firstLine="720"/>
      </w:pPr>
      <w:r w:rsidRPr="001E14C8">
        <w:rPr>
          <w:u w:val="single"/>
        </w:rPr>
        <w:t>Compensation</w:t>
      </w:r>
      <w:r w:rsidRPr="001E14C8">
        <w:t xml:space="preserve">.  The Company agrees to </w:t>
      </w:r>
      <w:r w:rsidR="00093DC7" w:rsidRPr="001E14C8">
        <w:t xml:space="preserve">issue </w:t>
      </w:r>
      <w:r w:rsidRPr="001E14C8">
        <w:t xml:space="preserve">to Developer </w:t>
      </w:r>
      <w:r w:rsidR="00FE28A3" w:rsidRPr="001E14C8">
        <w:t xml:space="preserve">______________ </w:t>
      </w:r>
      <w:r w:rsidRPr="001E14C8">
        <w:t xml:space="preserve">shares of common stock of the Company on the date of this Agreement pursuant to the provisions of a Stock Purchase Agreement on or about the date hereof between the Company and Developer.  Such shares shall be the only consideration required of the Company with respect to the subject matter of this Agreement. </w:t>
      </w:r>
    </w:p>
    <w:p w14:paraId="0046A7DF" w14:textId="77777777" w:rsidR="00C26542" w:rsidRPr="001E14C8" w:rsidRDefault="00C26542" w:rsidP="00FE28A3">
      <w:pPr>
        <w:pStyle w:val="Heading1"/>
        <w:keepNext/>
        <w:ind w:firstLine="720"/>
      </w:pPr>
      <w:r w:rsidRPr="001E14C8">
        <w:rPr>
          <w:u w:val="single"/>
        </w:rPr>
        <w:t>Further Assurances; Moral Rights; Competition; Marketing</w:t>
      </w:r>
      <w:r w:rsidR="009F3904" w:rsidRPr="001E14C8">
        <w:t>.</w:t>
      </w:r>
    </w:p>
    <w:p w14:paraId="31A2D0AF" w14:textId="43AEA219" w:rsidR="00C26542" w:rsidRPr="001E14C8" w:rsidRDefault="00C26542" w:rsidP="00FE28A3">
      <w:pPr>
        <w:pStyle w:val="Heading2"/>
        <w:ind w:firstLine="1440"/>
      </w:pPr>
      <w:r w:rsidRPr="001E14C8">
        <w:t>Developer agrees to assist the Company in every proper way to evidence, record and perfect the Section 1 assignment and to apply for and obtain recordation of and from time to time secure, enforce, maintain and defend the assigned rights.  If the Company is unable for any reason whatsoever to secure the Developer</w:t>
      </w:r>
      <w:r w:rsidR="009F3904" w:rsidRPr="001E14C8">
        <w:t>’</w:t>
      </w:r>
      <w:r w:rsidRPr="001E14C8">
        <w:t xml:space="preserve">s signature to any document requested by the Company under this Section </w:t>
      </w:r>
      <w:r w:rsidR="00163BF2" w:rsidRPr="001E14C8">
        <w:t>3</w:t>
      </w:r>
      <w:r w:rsidRPr="001E14C8">
        <w:t>.1, Developer hereby irrevocably designates and appoints the Company and its duly authorized officers and agents as Developer</w:t>
      </w:r>
      <w:r w:rsidR="009F3904" w:rsidRPr="001E14C8">
        <w:t>’</w:t>
      </w:r>
      <w:r w:rsidRPr="001E14C8">
        <w:t>s agents and attorneys-in-fact, coupled with an interest and with full power of substitution, to act for and on Developer</w:t>
      </w:r>
      <w:r w:rsidR="009F3904" w:rsidRPr="001E14C8">
        <w:t>’</w:t>
      </w:r>
      <w:r w:rsidRPr="001E14C8">
        <w:t>s behalf and instead of Developer, to execute and file any such document or documents and to do all other lawfully permitted acts to further the purposes of the foregoing with the same legal force and effect as if executed by Developer.</w:t>
      </w:r>
    </w:p>
    <w:p w14:paraId="4E2C85AB" w14:textId="53FDC965" w:rsidR="00C26542" w:rsidRPr="001E14C8" w:rsidRDefault="00C26542" w:rsidP="00FE28A3">
      <w:pPr>
        <w:pStyle w:val="Heading2"/>
        <w:ind w:firstLine="1440"/>
      </w:pPr>
      <w:r w:rsidRPr="001E14C8">
        <w:t xml:space="preserve">To the extent allowed by law, Section 1 includes all rights of paternity, integrity, disclosure and withdrawal and any other rights that may be known as or referred to as </w:t>
      </w:r>
      <w:r w:rsidR="009F3904" w:rsidRPr="001E14C8">
        <w:t>“</w:t>
      </w:r>
      <w:r w:rsidRPr="001E14C8">
        <w:t>moral rights,</w:t>
      </w:r>
      <w:r w:rsidR="009F3904" w:rsidRPr="001E14C8">
        <w:t>”</w:t>
      </w:r>
      <w:r w:rsidRPr="001E14C8">
        <w:t xml:space="preserve"> </w:t>
      </w:r>
      <w:r w:rsidR="009F3904" w:rsidRPr="001E14C8">
        <w:t>“</w:t>
      </w:r>
      <w:r w:rsidRPr="001E14C8">
        <w:t>artist</w:t>
      </w:r>
      <w:r w:rsidR="009F3904" w:rsidRPr="001E14C8">
        <w:t>’</w:t>
      </w:r>
      <w:r w:rsidRPr="001E14C8">
        <w:t>s rights,</w:t>
      </w:r>
      <w:r w:rsidR="009F3904" w:rsidRPr="001E14C8">
        <w:t>”</w:t>
      </w:r>
      <w:r w:rsidRPr="001E14C8">
        <w:t xml:space="preserve"> </w:t>
      </w:r>
      <w:r w:rsidR="009F3904" w:rsidRPr="001E14C8">
        <w:t>“</w:t>
      </w:r>
      <w:r w:rsidRPr="001E14C8">
        <w:t>droit moral,</w:t>
      </w:r>
      <w:r w:rsidR="009F3904" w:rsidRPr="001E14C8">
        <w:t>”</w:t>
      </w:r>
      <w:r w:rsidRPr="001E14C8">
        <w:t xml:space="preserve"> or the like (collectively </w:t>
      </w:r>
      <w:r w:rsidR="009F3904" w:rsidRPr="001E14C8">
        <w:t>“</w:t>
      </w:r>
      <w:r w:rsidRPr="001E14C8">
        <w:rPr>
          <w:u w:val="single"/>
        </w:rPr>
        <w:t>Moral Rights</w:t>
      </w:r>
      <w:r w:rsidR="009F3904" w:rsidRPr="001E14C8">
        <w:t>”</w:t>
      </w:r>
      <w:r w:rsidRPr="001E14C8">
        <w:t xml:space="preserve">). </w:t>
      </w:r>
      <w:r w:rsidR="00093DC7" w:rsidRPr="001E14C8">
        <w:t xml:space="preserve"> </w:t>
      </w:r>
      <w:r w:rsidRPr="001E14C8">
        <w:t xml:space="preserve">To the extent Developer retains any such Moral Rights under applicable law, Developer hereby ratifies and consents to, and provides all necessary ratifications of and consents to, any action that may be taken with respect to such Moral Rights by, or authorized by, the Company; Developer agrees not to assert any Moral Rights with respect thereto.  Developer will confirm any such ratifications, consents and agreements from time to time as requested by the Company. </w:t>
      </w:r>
    </w:p>
    <w:p w14:paraId="1D10CCE9" w14:textId="56EBD47E" w:rsidR="00C26542" w:rsidRPr="001E14C8" w:rsidRDefault="00C26542" w:rsidP="00FE28A3">
      <w:pPr>
        <w:pStyle w:val="Heading1"/>
        <w:ind w:firstLine="720"/>
      </w:pPr>
      <w:r w:rsidRPr="001E14C8">
        <w:rPr>
          <w:u w:val="single"/>
        </w:rPr>
        <w:lastRenderedPageBreak/>
        <w:t>Confidential Information</w:t>
      </w:r>
      <w:r w:rsidR="009F3904" w:rsidRPr="001E14C8">
        <w:t xml:space="preserve">.  </w:t>
      </w:r>
      <w:r w:rsidRPr="001E14C8">
        <w:t xml:space="preserve">Developer will not use or disclose anything assigned to the Company hereunder or any other technical or business information or plans of the Company, except to the extent </w:t>
      </w:r>
      <w:r w:rsidR="00163BF2" w:rsidRPr="001E14C8">
        <w:t xml:space="preserve">(i) </w:t>
      </w:r>
      <w:r w:rsidRPr="001E14C8">
        <w:t xml:space="preserve">that it is generally available (through no fault of Developer) for use and disclosure by the public without any charge, license or restriction, or (ii) </w:t>
      </w:r>
      <w:r w:rsidR="00163BF2" w:rsidRPr="001E14C8">
        <w:t xml:space="preserve">Developer </w:t>
      </w:r>
      <w:r w:rsidRPr="001E14C8">
        <w:t>is permitted to use or disclose such information or plans pursuant to the Proprietary Information and Inventions Agreement by and between Developer and the Company of even date herewith.  Developer recognizes and agrees that there is no adequate remedy at law for a breach of this Section </w:t>
      </w:r>
      <w:r w:rsidR="00163BF2" w:rsidRPr="001E14C8">
        <w:t>4</w:t>
      </w:r>
      <w:r w:rsidRPr="001E14C8">
        <w:t>, that such a breach would irreparably harm the Company and that the Company is entitled to equitable relief (including, without limitation, injunctive relief) with respect to any such breach or potential breach in addition to any other remedies and without any requirement to post bond.</w:t>
      </w:r>
    </w:p>
    <w:p w14:paraId="2891CDAE" w14:textId="6EF1DA59" w:rsidR="00C26542" w:rsidRPr="001E14C8" w:rsidRDefault="00C26542" w:rsidP="00FE28A3">
      <w:pPr>
        <w:pStyle w:val="Heading1"/>
        <w:ind w:firstLine="720"/>
      </w:pPr>
      <w:r w:rsidRPr="001E14C8">
        <w:rPr>
          <w:u w:val="single"/>
        </w:rPr>
        <w:t>Warranty</w:t>
      </w:r>
      <w:r w:rsidR="009F3904" w:rsidRPr="001E14C8">
        <w:t xml:space="preserve">.  </w:t>
      </w:r>
      <w:r w:rsidRPr="001E14C8">
        <w:t>Developer represents and warrants to the Company that the Developer (i) was</w:t>
      </w:r>
      <w:r w:rsidR="00E46DCE" w:rsidRPr="001E14C8">
        <w:t xml:space="preserve"> (until the assignment under Section 1 of this Agreement)</w:t>
      </w:r>
      <w:r w:rsidRPr="001E14C8">
        <w:t xml:space="preserve"> the sole owner of all rights, title and interest in the Intellectual Property and the Technology, (ii) has not assigned</w:t>
      </w:r>
      <w:r w:rsidR="00E46DCE" w:rsidRPr="001E14C8">
        <w:t xml:space="preserve"> or</w:t>
      </w:r>
      <w:r w:rsidRPr="001E14C8">
        <w:t xml:space="preserve"> transferred</w:t>
      </w:r>
      <w:r w:rsidR="00E46DCE" w:rsidRPr="001E14C8">
        <w:t xml:space="preserve"> (except for the assignment under Section 1 of this Agreement)</w:t>
      </w:r>
      <w:r w:rsidRPr="001E14C8">
        <w:t>, licensed, pledged or otherwise encumbered any Intellectual Property or the Technology or agreed to do so, (iii) has full power and authority to enter into this Agreement and to make the assignment as provided in Section 1, (iv) is not aware of any violation, infringement or misappropriation of any third party</w:t>
      </w:r>
      <w:r w:rsidR="009F3904" w:rsidRPr="001E14C8">
        <w:t>’</w:t>
      </w:r>
      <w:r w:rsidRPr="001E14C8">
        <w:t xml:space="preserve">s rights (or any claim thereof) by the Intellectual Property or the Technology, (v) was not acting within the scope of employment by </w:t>
      </w:r>
      <w:r w:rsidR="00E46DCE" w:rsidRPr="001E14C8">
        <w:t xml:space="preserve">or work for (or using any equipment, supplies or trade secrets of) </w:t>
      </w:r>
      <w:r w:rsidRPr="001E14C8">
        <w:t>any third party</w:t>
      </w:r>
      <w:r w:rsidR="00E46DCE" w:rsidRPr="001E14C8">
        <w:t xml:space="preserve"> at the time</w:t>
      </w:r>
      <w:r w:rsidRPr="001E14C8">
        <w:t xml:space="preserve"> when conceiving, creating</w:t>
      </w:r>
      <w:r w:rsidR="00E46DCE" w:rsidRPr="001E14C8">
        <w:t>, reducing to practice</w:t>
      </w:r>
      <w:r w:rsidRPr="001E14C8">
        <w:t xml:space="preserve"> or otherwise performing any activity with respect to anything purportedly assigned in Section 1</w:t>
      </w:r>
      <w:r w:rsidR="00E46DCE" w:rsidRPr="001E14C8">
        <w:t>, and nothing so purportedly assigned was related at any such time to any business or anticipated research or development of any third party by whom Developer was engaged as an employee or contractor</w:t>
      </w:r>
      <w:r w:rsidRPr="001E14C8">
        <w:t xml:space="preserve"> and (</w:t>
      </w:r>
      <w:r w:rsidR="00E46DCE" w:rsidRPr="001E14C8">
        <w:t>vi</w:t>
      </w:r>
      <w:r w:rsidRPr="001E14C8">
        <w:t>) is not aware of any questions or challenges with respect to the patentability or validity of any claims of any existing patents or patent applications relating to the Intellectual Property.</w:t>
      </w:r>
    </w:p>
    <w:p w14:paraId="02DB728B" w14:textId="77777777" w:rsidR="00163BF2" w:rsidRPr="001E14C8" w:rsidRDefault="00C26542" w:rsidP="00FE28A3">
      <w:pPr>
        <w:pStyle w:val="Heading1"/>
        <w:ind w:firstLine="720"/>
      </w:pPr>
      <w:r w:rsidRPr="001E14C8">
        <w:rPr>
          <w:u w:val="single"/>
        </w:rPr>
        <w:t>Miscellaneous</w:t>
      </w:r>
      <w:r w:rsidR="009F3904" w:rsidRPr="001E14C8">
        <w:t xml:space="preserve">.  </w:t>
      </w:r>
      <w:r w:rsidRPr="001E14C8">
        <w:t>This Agreement is not assignable or transferable by Developer without the prior written consent of the Company; any attempt to do so shall be void</w:t>
      </w:r>
      <w:r w:rsidR="00E46DCE" w:rsidRPr="001E14C8">
        <w:t>; this Agreement is fully assignable and transferable by the Company</w:t>
      </w:r>
      <w:r w:rsidRPr="001E14C8">
        <w:t>.  Any notice, report, approval or consent required or permitted hereunder shall be in writing and will be deemed to have been duly given if delivered personally or mailed by first-class, registered or certified U.S. mail, postage prepaid to the respective addresses of the parties as set forth below (or such other address as a party may designate by ten (10) days</w:t>
      </w:r>
      <w:r w:rsidR="00163BF2" w:rsidRPr="001E14C8">
        <w:t>’</w:t>
      </w:r>
      <w:r w:rsidRPr="001E14C8">
        <w:t xml:space="preserve"> notice).  No failure to exercise, and no delay in exercising, on the part of either party, any privilege, any power or any rights hereunder will operate as a waiver thereof, nor will any single or partial exercise of any right or power hereunder preclude further exercise of any other right hereunder.  If any provision of this Agreement shall be adjudged by any court of competent jurisdiction to be unenforceable or invalid, that provision shall be limited or eliminated to the minimum extent necessary so that this Agreement shall otherwise remain in full force and effect and enforceable.  This Agreement shall be deemed to have been made in, and shall be construed pursuant to the laws of the State of </w:t>
      </w:r>
      <w:r w:rsidR="00163BF2" w:rsidRPr="001E14C8">
        <w:t>California</w:t>
      </w:r>
      <w:r w:rsidRPr="001E14C8">
        <w:t xml:space="preserve"> and the United States without regard to conflicts of laws provisions thereof.  The prevailing party in any action to enforce this Agreement shall be entitled to recover costs and expenses including, without limitation, attorneys</w:t>
      </w:r>
      <w:r w:rsidR="009F3904" w:rsidRPr="001E14C8">
        <w:t>’</w:t>
      </w:r>
      <w:r w:rsidRPr="001E14C8">
        <w:t xml:space="preserve"> fees.  The terms of this Agreement are confidential to the Company and no press release or other written or oral disclosure of any nature regarding the compensation terms of this Agreement shall be made by Developer without the Company</w:t>
      </w:r>
      <w:r w:rsidR="009F3904" w:rsidRPr="001E14C8">
        <w:t>’</w:t>
      </w:r>
      <w:r w:rsidRPr="001E14C8">
        <w:t xml:space="preserve">s prior written approval; however, approval for such disclosure shall be deemed given to the extent such disclosure is required to comply with </w:t>
      </w:r>
      <w:r w:rsidRPr="001E14C8">
        <w:lastRenderedPageBreak/>
        <w:t xml:space="preserve">governmental rules.  Any waivers or amendments shall be effective only if made in writing and signed by a representative of the respective parties authorized to bind the parties.  Both parties agree that this Agreement is the complete and exclusive statement of the mutual understanding of the parties and supersedes and cancels all previous written and oral agreements and communications relating to the subject matter of this Agreement. </w:t>
      </w:r>
    </w:p>
    <w:p w14:paraId="58CE5E4E" w14:textId="759CD3BB" w:rsidR="00FE28A3" w:rsidRPr="001E14C8" w:rsidRDefault="00FE28A3" w:rsidP="00FE28A3">
      <w:pPr>
        <w:pStyle w:val="Heading1"/>
        <w:ind w:firstLine="720"/>
      </w:pPr>
      <w:r w:rsidRPr="001E14C8">
        <w:rPr>
          <w:u w:val="single"/>
        </w:rPr>
        <w:t>Arbitration</w:t>
      </w:r>
      <w:r w:rsidRPr="001E14C8">
        <w:t>.  Any controversy or claim arising out of or relating to this contract, or the breach thereof, shall be settled by binding arbitration administered by the NeuCourt online arbitration platform, www.neucourt.com, in accordance with the NeuCourt Arbitration Rules, and judgment on the award rendered by the arbitrator(s) may be entered in any court having jurisdiction thereof. Each party further acknowledges and agrees that communications from the NeuCourt platform, including initial notification of a dispute, shall be sent to the email addresses set forth for such party on the signature page hereto or to such email addresses customarily used by each party for the other party hereto, unless otherwise notified to the other party in writing in accordance with the notification provisions in this contract. The parties hereto understand the importance of ensuring that they are notified of a dispute and therefore represent that they have been careful to identify an email address to which they believe they will always have unfettered access. Nothing in this clause shall prevent a party from seeking provisional remedies in aid of arbitration from a court of competent jurisdiction.</w:t>
      </w:r>
    </w:p>
    <w:p w14:paraId="2C9387AE" w14:textId="5504E5DA" w:rsidR="00C26542" w:rsidRPr="001E14C8" w:rsidRDefault="00C26542" w:rsidP="00163BF2">
      <w:pPr>
        <w:pStyle w:val="Heading1"/>
        <w:numPr>
          <w:ilvl w:val="0"/>
          <w:numId w:val="0"/>
        </w:numPr>
        <w:ind w:firstLine="720"/>
        <w:rPr>
          <w:i/>
        </w:rPr>
      </w:pPr>
      <w:r w:rsidRPr="001E14C8">
        <w:rPr>
          <w:b/>
          <w:bCs/>
        </w:rPr>
        <w:t>IN WITNESS WHEREOF</w:t>
      </w:r>
      <w:r w:rsidRPr="001E14C8">
        <w:t>, the parties have executed this Agreement on the day and year first indicated above.</w:t>
      </w:r>
    </w:p>
    <w:p w14:paraId="2D7DC062" w14:textId="646792B5" w:rsidR="0032381A" w:rsidRPr="001E14C8" w:rsidRDefault="00FE28A3" w:rsidP="0032381A">
      <w:pPr>
        <w:ind w:left="4320"/>
        <w:jc w:val="both"/>
        <w:rPr>
          <w:b/>
          <w:bCs/>
        </w:rPr>
      </w:pPr>
      <w:r w:rsidRPr="001E14C8">
        <w:rPr>
          <w:b/>
          <w:bCs/>
        </w:rPr>
        <w:t>_______________</w:t>
      </w:r>
      <w:r w:rsidR="0032381A" w:rsidRPr="001E14C8">
        <w:rPr>
          <w:b/>
          <w:bCs/>
        </w:rPr>
        <w:t>, INC.</w:t>
      </w:r>
    </w:p>
    <w:p w14:paraId="4C4A3BE1" w14:textId="766EFE31" w:rsidR="0032381A" w:rsidRPr="001E14C8" w:rsidRDefault="0032381A" w:rsidP="0032381A">
      <w:pPr>
        <w:ind w:left="4320" w:hanging="720"/>
        <w:jc w:val="both"/>
        <w:rPr>
          <w:b/>
          <w:bCs/>
        </w:rPr>
      </w:pPr>
      <w:r w:rsidRPr="001E14C8">
        <w:rPr>
          <w:b/>
          <w:bCs/>
        </w:rPr>
        <w:t xml:space="preserve">     </w:t>
      </w:r>
      <w:r w:rsidRPr="001E14C8">
        <w:rPr>
          <w:b/>
          <w:bCs/>
        </w:rPr>
        <w:tab/>
        <w:t xml:space="preserve">a </w:t>
      </w:r>
      <w:r w:rsidR="00FE28A3" w:rsidRPr="001E14C8">
        <w:rPr>
          <w:b/>
          <w:bCs/>
        </w:rPr>
        <w:t>_________</w:t>
      </w:r>
      <w:r w:rsidRPr="001E14C8">
        <w:rPr>
          <w:b/>
          <w:bCs/>
        </w:rPr>
        <w:t xml:space="preserve"> Corporation</w:t>
      </w:r>
    </w:p>
    <w:p w14:paraId="56E7FD21" w14:textId="77777777" w:rsidR="0032381A" w:rsidRPr="001E14C8" w:rsidRDefault="0032381A" w:rsidP="0032381A">
      <w:pPr>
        <w:ind w:firstLine="3600"/>
        <w:jc w:val="both"/>
        <w:rPr>
          <w:b/>
          <w:bCs/>
        </w:rPr>
      </w:pPr>
    </w:p>
    <w:p w14:paraId="1CE6C564" w14:textId="77777777" w:rsidR="0032381A" w:rsidRPr="001E14C8" w:rsidRDefault="0032381A" w:rsidP="0032381A">
      <w:pPr>
        <w:jc w:val="both"/>
        <w:rPr>
          <w:b/>
          <w:bCs/>
        </w:rPr>
      </w:pPr>
    </w:p>
    <w:p w14:paraId="5C2F3E1B" w14:textId="77777777" w:rsidR="0032381A" w:rsidRPr="001E14C8" w:rsidRDefault="0032381A" w:rsidP="0032381A">
      <w:pPr>
        <w:jc w:val="both"/>
        <w:rPr>
          <w:b/>
          <w:bCs/>
        </w:rPr>
      </w:pPr>
    </w:p>
    <w:p w14:paraId="1B6E752B" w14:textId="77777777" w:rsidR="0032381A" w:rsidRPr="001E14C8" w:rsidRDefault="0032381A" w:rsidP="0032381A">
      <w:pPr>
        <w:ind w:left="3600"/>
        <w:rPr>
          <w:b/>
          <w:bCs/>
        </w:rPr>
      </w:pPr>
      <w:r w:rsidRPr="001E14C8">
        <w:rPr>
          <w:b/>
          <w:bCs/>
        </w:rPr>
        <w:t>By:</w:t>
      </w:r>
      <w:r w:rsidRPr="001E14C8">
        <w:rPr>
          <w:b/>
          <w:bCs/>
        </w:rPr>
        <w:tab/>
        <w:t>________________________________________</w:t>
      </w:r>
    </w:p>
    <w:p w14:paraId="7791A08D" w14:textId="0C78249F" w:rsidR="0032381A" w:rsidRPr="001E14C8" w:rsidRDefault="00FE28A3" w:rsidP="0032381A">
      <w:pPr>
        <w:ind w:left="3600" w:firstLine="720"/>
        <w:rPr>
          <w:b/>
          <w:bCs/>
        </w:rPr>
      </w:pPr>
      <w:r w:rsidRPr="001E14C8">
        <w:rPr>
          <w:b/>
          <w:bCs/>
        </w:rPr>
        <w:t>______________</w:t>
      </w:r>
      <w:r w:rsidR="0032381A" w:rsidRPr="001E14C8">
        <w:rPr>
          <w:b/>
          <w:bCs/>
        </w:rPr>
        <w:t xml:space="preserve">, </w:t>
      </w:r>
      <w:r w:rsidRPr="001E14C8">
        <w:rPr>
          <w:b/>
          <w:bCs/>
        </w:rPr>
        <w:t>CEO</w:t>
      </w:r>
    </w:p>
    <w:p w14:paraId="471D52D1" w14:textId="6AB7DF71" w:rsidR="001E14C8" w:rsidRPr="001E14C8" w:rsidRDefault="001E14C8" w:rsidP="001E14C8">
      <w:pPr>
        <w:ind w:left="2880" w:firstLine="720"/>
        <w:rPr>
          <w:b/>
          <w:bCs/>
        </w:rPr>
      </w:pPr>
      <w:r>
        <w:rPr>
          <w:b/>
          <w:bCs/>
        </w:rPr>
        <w:t>Email</w:t>
      </w:r>
      <w:r w:rsidRPr="001E14C8">
        <w:rPr>
          <w:b/>
          <w:bCs/>
        </w:rPr>
        <w:t>:</w:t>
      </w:r>
      <w:r w:rsidRPr="001E14C8">
        <w:rPr>
          <w:b/>
          <w:bCs/>
        </w:rPr>
        <w:tab/>
        <w:t>________________________________________</w:t>
      </w:r>
    </w:p>
    <w:p w14:paraId="481CCF98" w14:textId="77777777" w:rsidR="0032381A" w:rsidRPr="001E14C8" w:rsidRDefault="0032381A" w:rsidP="0032381A">
      <w:pPr>
        <w:ind w:firstLine="4320"/>
        <w:jc w:val="both"/>
      </w:pPr>
    </w:p>
    <w:p w14:paraId="1454D316" w14:textId="77777777" w:rsidR="0032381A" w:rsidRPr="001E14C8" w:rsidRDefault="0032381A" w:rsidP="0032381A">
      <w:pPr>
        <w:ind w:firstLine="4320"/>
        <w:jc w:val="both"/>
      </w:pPr>
    </w:p>
    <w:p w14:paraId="1532B6CE" w14:textId="77777777" w:rsidR="0032381A" w:rsidRPr="001E14C8" w:rsidRDefault="0032381A" w:rsidP="0032381A">
      <w:pPr>
        <w:ind w:left="3600"/>
        <w:jc w:val="both"/>
        <w:rPr>
          <w:b/>
          <w:bCs/>
        </w:rPr>
      </w:pPr>
      <w:r w:rsidRPr="001E14C8">
        <w:rPr>
          <w:b/>
          <w:bCs/>
        </w:rPr>
        <w:tab/>
        <w:t>________________________________________</w:t>
      </w:r>
    </w:p>
    <w:p w14:paraId="274CBED7" w14:textId="053518C7" w:rsidR="00CA57A4" w:rsidRPr="001E14C8" w:rsidRDefault="0032381A" w:rsidP="006A58D0">
      <w:pPr>
        <w:jc w:val="both"/>
        <w:rPr>
          <w:b/>
        </w:rPr>
      </w:pPr>
      <w:r w:rsidRPr="001E14C8">
        <w:rPr>
          <w:b/>
        </w:rPr>
        <w:tab/>
      </w:r>
      <w:r w:rsidRPr="001E14C8">
        <w:rPr>
          <w:b/>
        </w:rPr>
        <w:tab/>
      </w:r>
      <w:r w:rsidRPr="001E14C8">
        <w:rPr>
          <w:b/>
        </w:rPr>
        <w:tab/>
      </w:r>
      <w:r w:rsidRPr="001E14C8">
        <w:rPr>
          <w:b/>
        </w:rPr>
        <w:tab/>
      </w:r>
      <w:r w:rsidRPr="001E14C8">
        <w:rPr>
          <w:b/>
        </w:rPr>
        <w:tab/>
      </w:r>
      <w:r w:rsidRPr="001E14C8">
        <w:rPr>
          <w:b/>
        </w:rPr>
        <w:tab/>
      </w:r>
      <w:r w:rsidR="00FE28A3" w:rsidRPr="001E14C8">
        <w:rPr>
          <w:b/>
        </w:rPr>
        <w:t>[Developer]</w:t>
      </w:r>
    </w:p>
    <w:p w14:paraId="50E49F9F" w14:textId="77777777" w:rsidR="001E14C8" w:rsidRPr="001E14C8" w:rsidRDefault="001E14C8" w:rsidP="001E14C8">
      <w:pPr>
        <w:ind w:left="2880" w:firstLine="720"/>
        <w:rPr>
          <w:b/>
          <w:bCs/>
        </w:rPr>
      </w:pPr>
      <w:r>
        <w:rPr>
          <w:b/>
          <w:bCs/>
        </w:rPr>
        <w:t>Email</w:t>
      </w:r>
      <w:r w:rsidRPr="001E14C8">
        <w:rPr>
          <w:b/>
          <w:bCs/>
        </w:rPr>
        <w:t>:</w:t>
      </w:r>
      <w:r w:rsidRPr="001E14C8">
        <w:rPr>
          <w:b/>
          <w:bCs/>
        </w:rPr>
        <w:tab/>
        <w:t>________________________________________</w:t>
      </w:r>
    </w:p>
    <w:p w14:paraId="3F44901C" w14:textId="44594EAC" w:rsidR="006A58D0" w:rsidRPr="001E14C8" w:rsidRDefault="006A58D0" w:rsidP="006A58D0">
      <w:pPr>
        <w:jc w:val="both"/>
        <w:rPr>
          <w:b/>
        </w:rPr>
      </w:pPr>
    </w:p>
    <w:p w14:paraId="312C07C8" w14:textId="77777777" w:rsidR="006A58D0" w:rsidRPr="001E14C8" w:rsidRDefault="006A58D0" w:rsidP="006A58D0">
      <w:pPr>
        <w:jc w:val="both"/>
      </w:pPr>
    </w:p>
    <w:sectPr w:rsidR="006A58D0" w:rsidRPr="001E14C8" w:rsidSect="009F3904">
      <w:footerReference w:type="default" r:id="rId7"/>
      <w:endnotePr>
        <w:numFmt w:val="decimal"/>
      </w:end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B3547" w14:textId="77777777" w:rsidR="000B59EE" w:rsidRDefault="000B59EE">
      <w:pPr>
        <w:suppressAutoHyphens w:val="0"/>
        <w:spacing w:line="20" w:lineRule="exact"/>
        <w:rPr>
          <w:rFonts w:ascii="Courier New" w:hAnsi="Courier New"/>
        </w:rPr>
      </w:pPr>
    </w:p>
  </w:endnote>
  <w:endnote w:type="continuationSeparator" w:id="0">
    <w:p w14:paraId="5D833DAC" w14:textId="77777777" w:rsidR="000B59EE" w:rsidRDefault="000B59EE">
      <w:r>
        <w:rPr>
          <w:rFonts w:ascii="Courier New" w:hAnsi="Courier New"/>
        </w:rPr>
        <w:t xml:space="preserve"> </w:t>
      </w:r>
    </w:p>
  </w:endnote>
  <w:endnote w:type="continuationNotice" w:id="1">
    <w:p w14:paraId="0B001845" w14:textId="77777777" w:rsidR="000B59EE" w:rsidRDefault="000B59EE">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85887075"/>
      <w:docPartObj>
        <w:docPartGallery w:val="Page Numbers (Bottom of Page)"/>
        <w:docPartUnique/>
      </w:docPartObj>
    </w:sdtPr>
    <w:sdtEndPr>
      <w:rPr>
        <w:noProof/>
      </w:rPr>
    </w:sdtEndPr>
    <w:sdtContent>
      <w:p w14:paraId="5A26DB38" w14:textId="7F6D451C" w:rsidR="006A58D0" w:rsidRPr="006A58D0" w:rsidRDefault="006A58D0">
        <w:pPr>
          <w:pStyle w:val="Footer"/>
          <w:jc w:val="center"/>
          <w:rPr>
            <w:sz w:val="24"/>
            <w:szCs w:val="24"/>
          </w:rPr>
        </w:pPr>
        <w:r w:rsidRPr="006A58D0">
          <w:rPr>
            <w:sz w:val="24"/>
            <w:szCs w:val="24"/>
          </w:rPr>
          <w:fldChar w:fldCharType="begin"/>
        </w:r>
        <w:r w:rsidRPr="006A58D0">
          <w:rPr>
            <w:sz w:val="24"/>
            <w:szCs w:val="24"/>
          </w:rPr>
          <w:instrText xml:space="preserve"> PAGE   \* MERGEFORMAT </w:instrText>
        </w:r>
        <w:r w:rsidRPr="006A58D0">
          <w:rPr>
            <w:sz w:val="24"/>
            <w:szCs w:val="24"/>
          </w:rPr>
          <w:fldChar w:fldCharType="separate"/>
        </w:r>
        <w:r w:rsidRPr="006A58D0">
          <w:rPr>
            <w:noProof/>
            <w:sz w:val="24"/>
            <w:szCs w:val="24"/>
          </w:rPr>
          <w:t>2</w:t>
        </w:r>
        <w:r w:rsidRPr="006A58D0">
          <w:rPr>
            <w:noProof/>
            <w:sz w:val="24"/>
            <w:szCs w:val="24"/>
          </w:rPr>
          <w:fldChar w:fldCharType="end"/>
        </w:r>
      </w:p>
    </w:sdtContent>
  </w:sdt>
  <w:p w14:paraId="20770608" w14:textId="762BD1F6" w:rsidR="004B27D2" w:rsidRPr="00093DC7" w:rsidRDefault="004B27D2" w:rsidP="00093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DC0FB" w14:textId="77777777" w:rsidR="000B59EE" w:rsidRDefault="000B59EE">
      <w:r>
        <w:rPr>
          <w:rFonts w:ascii="Courier New" w:hAnsi="Courier New"/>
        </w:rPr>
        <w:separator/>
      </w:r>
    </w:p>
  </w:footnote>
  <w:footnote w:type="continuationSeparator" w:id="0">
    <w:p w14:paraId="53178E95" w14:textId="77777777" w:rsidR="000B59EE" w:rsidRDefault="000B5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CD8F5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pStyle w:val="Heading1"/>
      <w:lvlText w:val="%1."/>
      <w:legacy w:legacy="1" w:legacySpace="0" w:legacyIndent="720"/>
      <w:lvlJc w:val="left"/>
      <w:pPr>
        <w:ind w:left="0" w:hanging="720"/>
      </w:pPr>
      <w:rPr>
        <w:rFonts w:ascii="Times New Roman" w:hAnsi="Times New Roman" w:hint="default"/>
        <w:b w:val="0"/>
        <w:i w:val="0"/>
        <w:sz w:val="24"/>
      </w:rPr>
    </w:lvl>
    <w:lvl w:ilvl="1">
      <w:start w:val="1"/>
      <w:numFmt w:val="decimal"/>
      <w:pStyle w:val="Heading2"/>
      <w:lvlText w:val="%1.%2"/>
      <w:legacy w:legacy="1" w:legacySpace="0" w:legacyIndent="720"/>
      <w:lvlJc w:val="left"/>
      <w:pPr>
        <w:ind w:left="0" w:hanging="720"/>
      </w:pPr>
      <w:rPr>
        <w:rFonts w:ascii="Times New Roman" w:hAnsi="Times New Roman" w:hint="default"/>
        <w:b w:val="0"/>
        <w:i w:val="0"/>
        <w:sz w:val="24"/>
      </w:rPr>
    </w:lvl>
    <w:lvl w:ilvl="2">
      <w:start w:val="1"/>
      <w:numFmt w:val="lowerLetter"/>
      <w:pStyle w:val="Heading3"/>
      <w:lvlText w:val="(%3)"/>
      <w:legacy w:legacy="1" w:legacySpace="0" w:legacyIndent="720"/>
      <w:lvlJc w:val="left"/>
      <w:pPr>
        <w:ind w:left="0" w:hanging="720"/>
      </w:pPr>
      <w:rPr>
        <w:rFonts w:ascii="Times New Roman" w:hAnsi="Times New Roman" w:hint="default"/>
        <w:b w:val="0"/>
        <w:i w:val="0"/>
        <w:sz w:val="24"/>
      </w:rPr>
    </w:lvl>
    <w:lvl w:ilvl="3">
      <w:start w:val="1"/>
      <w:numFmt w:val="decimal"/>
      <w:pStyle w:val="Heading4"/>
      <w:lvlText w:val="(%4)"/>
      <w:legacy w:legacy="1" w:legacySpace="0" w:legacyIndent="720"/>
      <w:lvlJc w:val="left"/>
      <w:pPr>
        <w:ind w:left="0" w:hanging="720"/>
      </w:pPr>
      <w:rPr>
        <w:rFonts w:ascii="Times New Roman" w:hAnsi="Times New Roman" w:hint="default"/>
        <w:b w:val="0"/>
        <w:i w:val="0"/>
        <w:sz w:val="24"/>
      </w:rPr>
    </w:lvl>
    <w:lvl w:ilvl="4">
      <w:start w:val="1"/>
      <w:numFmt w:val="lowerLetter"/>
      <w:pStyle w:val="Heading5"/>
      <w:lvlText w:val="%5."/>
      <w:legacy w:legacy="1" w:legacySpace="0" w:legacyIndent="720"/>
      <w:lvlJc w:val="left"/>
      <w:pPr>
        <w:ind w:left="0" w:hanging="720"/>
      </w:pPr>
      <w:rPr>
        <w:rFonts w:ascii="Times New Roman" w:hAnsi="Times New Roman" w:hint="default"/>
        <w:b w:val="0"/>
        <w:i w:val="0"/>
        <w:sz w:val="24"/>
      </w:rPr>
    </w:lvl>
    <w:lvl w:ilvl="5">
      <w:start w:val="1"/>
      <w:numFmt w:val="decimal"/>
      <w:pStyle w:val="Heading6"/>
      <w:lvlText w:val="%5.%6."/>
      <w:legacy w:legacy="1" w:legacySpace="0" w:legacyIndent="720"/>
      <w:lvlJc w:val="left"/>
      <w:pPr>
        <w:ind w:left="4320" w:hanging="720"/>
      </w:pPr>
    </w:lvl>
    <w:lvl w:ilvl="6">
      <w:start w:val="1"/>
      <w:numFmt w:val="decimal"/>
      <w:pStyle w:val="Heading7"/>
      <w:lvlText w:val="%5.%6.%7."/>
      <w:legacy w:legacy="1" w:legacySpace="0" w:legacyIndent="720"/>
      <w:lvlJc w:val="left"/>
      <w:pPr>
        <w:ind w:left="5040" w:hanging="720"/>
      </w:pPr>
    </w:lvl>
    <w:lvl w:ilvl="7">
      <w:start w:val="1"/>
      <w:numFmt w:val="decimal"/>
      <w:pStyle w:val="Heading8"/>
      <w:lvlText w:val="%5.%6.%7.%8."/>
      <w:legacy w:legacy="1" w:legacySpace="0" w:legacyIndent="720"/>
      <w:lvlJc w:val="left"/>
      <w:pPr>
        <w:ind w:left="5760" w:hanging="720"/>
      </w:pPr>
    </w:lvl>
    <w:lvl w:ilvl="8">
      <w:start w:val="1"/>
      <w:numFmt w:val="decimal"/>
      <w:pStyle w:val="Heading9"/>
      <w:lvlText w:val="%5.%6.%7.%8.%9."/>
      <w:legacy w:legacy="1" w:legacySpace="0" w:legacyIndent="720"/>
      <w:lvlJc w:val="left"/>
      <w:pPr>
        <w:ind w:left="6480" w:hanging="720"/>
      </w:pPr>
    </w:lvl>
  </w:abstractNum>
  <w:num w:numId="1" w16cid:durableId="22050936">
    <w:abstractNumId w:val="1"/>
  </w:num>
  <w:num w:numId="2" w16cid:durableId="492569249">
    <w:abstractNumId w:val="0"/>
  </w:num>
  <w:num w:numId="3" w16cid:durableId="16126696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railer" w:val="draft"/>
  </w:docVars>
  <w:rsids>
    <w:rsidRoot w:val="00C26542"/>
    <w:rsid w:val="0001755E"/>
    <w:rsid w:val="00027006"/>
    <w:rsid w:val="00093DC7"/>
    <w:rsid w:val="000B59EE"/>
    <w:rsid w:val="000E33E9"/>
    <w:rsid w:val="0010164B"/>
    <w:rsid w:val="00163BF2"/>
    <w:rsid w:val="00170B98"/>
    <w:rsid w:val="00180E19"/>
    <w:rsid w:val="00191C41"/>
    <w:rsid w:val="001E14C8"/>
    <w:rsid w:val="00285F68"/>
    <w:rsid w:val="0032381A"/>
    <w:rsid w:val="00350653"/>
    <w:rsid w:val="0036139D"/>
    <w:rsid w:val="003960CF"/>
    <w:rsid w:val="00480509"/>
    <w:rsid w:val="004B27D2"/>
    <w:rsid w:val="004F213D"/>
    <w:rsid w:val="004F5C98"/>
    <w:rsid w:val="00523053"/>
    <w:rsid w:val="006070B1"/>
    <w:rsid w:val="00652D31"/>
    <w:rsid w:val="00653A10"/>
    <w:rsid w:val="006A58D0"/>
    <w:rsid w:val="006E565D"/>
    <w:rsid w:val="00701E8D"/>
    <w:rsid w:val="007549E0"/>
    <w:rsid w:val="0082483B"/>
    <w:rsid w:val="00831E9E"/>
    <w:rsid w:val="00855FFE"/>
    <w:rsid w:val="00896034"/>
    <w:rsid w:val="009131CD"/>
    <w:rsid w:val="009F3904"/>
    <w:rsid w:val="00A13D68"/>
    <w:rsid w:val="00A7600E"/>
    <w:rsid w:val="00AD2B9E"/>
    <w:rsid w:val="00B01982"/>
    <w:rsid w:val="00B607C2"/>
    <w:rsid w:val="00BD2452"/>
    <w:rsid w:val="00BE0C3F"/>
    <w:rsid w:val="00C26542"/>
    <w:rsid w:val="00C979FA"/>
    <w:rsid w:val="00CA57A4"/>
    <w:rsid w:val="00D06F1E"/>
    <w:rsid w:val="00E46DCE"/>
    <w:rsid w:val="00E5434A"/>
    <w:rsid w:val="00E606A8"/>
    <w:rsid w:val="00EF0789"/>
    <w:rsid w:val="00F34FBC"/>
    <w:rsid w:val="00F974EB"/>
    <w:rsid w:val="00FA412F"/>
    <w:rsid w:val="00FE0026"/>
    <w:rsid w:val="00FE2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A558C9"/>
  <w15:docId w15:val="{A21A258B-9FA6-4E79-A173-F7F62001F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5F68"/>
    <w:pPr>
      <w:suppressAutoHyphens/>
    </w:pPr>
    <w:rPr>
      <w:sz w:val="24"/>
    </w:rPr>
  </w:style>
  <w:style w:type="paragraph" w:styleId="Heading1">
    <w:name w:val="heading 1"/>
    <w:basedOn w:val="Normal"/>
    <w:next w:val="Heading2"/>
    <w:link w:val="Heading1Char"/>
    <w:qFormat/>
    <w:rsid w:val="009F3904"/>
    <w:pPr>
      <w:numPr>
        <w:numId w:val="1"/>
      </w:numPr>
      <w:spacing w:after="240"/>
      <w:jc w:val="both"/>
      <w:outlineLvl w:val="0"/>
    </w:pPr>
  </w:style>
  <w:style w:type="paragraph" w:styleId="Heading2">
    <w:name w:val="heading 2"/>
    <w:basedOn w:val="Normal"/>
    <w:next w:val="Normal"/>
    <w:qFormat/>
    <w:pPr>
      <w:numPr>
        <w:ilvl w:val="1"/>
        <w:numId w:val="1"/>
      </w:numPr>
      <w:spacing w:after="240"/>
      <w:jc w:val="both"/>
      <w:outlineLvl w:val="1"/>
    </w:pPr>
  </w:style>
  <w:style w:type="paragraph" w:styleId="Heading3">
    <w:name w:val="heading 3"/>
    <w:basedOn w:val="Normal"/>
    <w:next w:val="Normal"/>
    <w:qFormat/>
    <w:pPr>
      <w:numPr>
        <w:ilvl w:val="2"/>
        <w:numId w:val="1"/>
      </w:numPr>
      <w:suppressAutoHyphens w:val="0"/>
      <w:spacing w:after="240"/>
      <w:jc w:val="both"/>
      <w:outlineLvl w:val="2"/>
    </w:pPr>
  </w:style>
  <w:style w:type="paragraph" w:styleId="Heading4">
    <w:name w:val="heading 4"/>
    <w:basedOn w:val="Normal"/>
    <w:next w:val="Normal"/>
    <w:qFormat/>
    <w:pPr>
      <w:numPr>
        <w:ilvl w:val="3"/>
        <w:numId w:val="1"/>
      </w:numPr>
      <w:suppressAutoHyphens w:val="0"/>
      <w:spacing w:after="240"/>
      <w:jc w:val="both"/>
      <w:outlineLvl w:val="3"/>
    </w:pPr>
  </w:style>
  <w:style w:type="paragraph" w:styleId="Heading5">
    <w:name w:val="heading 5"/>
    <w:basedOn w:val="Normal"/>
    <w:next w:val="Normal"/>
    <w:qFormat/>
    <w:pPr>
      <w:numPr>
        <w:ilvl w:val="4"/>
        <w:numId w:val="1"/>
      </w:numPr>
      <w:suppressAutoHyphens w:val="0"/>
      <w:spacing w:after="240"/>
      <w:jc w:val="both"/>
      <w:outlineLvl w:val="4"/>
    </w:pPr>
  </w:style>
  <w:style w:type="paragraph" w:styleId="Heading6">
    <w:name w:val="heading 6"/>
    <w:basedOn w:val="Normal"/>
    <w:next w:val="Normal"/>
    <w:qFormat/>
    <w:pPr>
      <w:numPr>
        <w:ilvl w:val="5"/>
        <w:numId w:val="1"/>
      </w:numPr>
      <w:suppressAutoHyphens w:val="0"/>
      <w:outlineLvl w:val="5"/>
    </w:pPr>
    <w:rPr>
      <w:rFonts w:ascii="Courier New" w:hAnsi="Courier New"/>
    </w:rPr>
  </w:style>
  <w:style w:type="paragraph" w:styleId="Heading7">
    <w:name w:val="heading 7"/>
    <w:basedOn w:val="Normal"/>
    <w:next w:val="Normal"/>
    <w:qFormat/>
    <w:pPr>
      <w:numPr>
        <w:ilvl w:val="6"/>
        <w:numId w:val="1"/>
      </w:numPr>
      <w:suppressAutoHyphens w:val="0"/>
      <w:outlineLvl w:val="6"/>
    </w:pPr>
    <w:rPr>
      <w:rFonts w:ascii="Courier New" w:hAnsi="Courier New"/>
    </w:rPr>
  </w:style>
  <w:style w:type="paragraph" w:styleId="Heading8">
    <w:name w:val="heading 8"/>
    <w:basedOn w:val="Normal"/>
    <w:next w:val="Normal"/>
    <w:qFormat/>
    <w:pPr>
      <w:numPr>
        <w:ilvl w:val="7"/>
        <w:numId w:val="1"/>
      </w:numPr>
      <w:suppressAutoHyphens w:val="0"/>
      <w:outlineLvl w:val="7"/>
    </w:pPr>
    <w:rPr>
      <w:rFonts w:ascii="Courier New" w:hAnsi="Courier New"/>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DocID">
    <w:name w:val="zDocID"/>
    <w:rsid w:val="00AD2B9E"/>
    <w:pPr>
      <w:framePr w:w="10800" w:wrap="around" w:vAnchor="text" w:hAnchor="page" w:x="721" w:y="1" w:anchorLock="1"/>
      <w:tabs>
        <w:tab w:val="right" w:pos="10800"/>
      </w:tabs>
    </w:pPr>
    <w:rPr>
      <w:noProof/>
      <w:sz w:val="16"/>
    </w:rPr>
  </w:style>
  <w:style w:type="character" w:customStyle="1" w:styleId="zcDocID">
    <w:name w:val="zcDocID"/>
    <w:rsid w:val="00BD2452"/>
    <w:rPr>
      <w:rFonts w:ascii="Times New Roman" w:hAnsi="Times New Roman" w:cs="Times New Roman"/>
      <w:b w:val="0"/>
      <w:i w:val="0"/>
      <w:caps w:val="0"/>
      <w:smallCaps w:val="0"/>
      <w:strike w:val="0"/>
      <w:dstrike w:val="0"/>
      <w:noProof/>
      <w:vanish w:val="0"/>
      <w:color w:val="auto"/>
      <w:w w:val="100"/>
      <w:kern w:val="0"/>
      <w:sz w:val="16"/>
      <w:u w:val="none"/>
      <w:effect w:val="none"/>
      <w:bdr w:val="none" w:sz="0" w:space="0" w:color="auto"/>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Normal"/>
    <w:semiHidden/>
    <w:pPr>
      <w:suppressAutoHyphens w:val="0"/>
    </w:pPr>
    <w:rPr>
      <w:rFonts w:ascii="Courier New" w:hAnsi="Courier New"/>
    </w:rPr>
  </w:style>
  <w:style w:type="character" w:styleId="FootnoteReference">
    <w:name w:val="footnote reference"/>
    <w:semiHidden/>
    <w:rPr>
      <w:vertAlign w:val="superscript"/>
    </w:rPr>
  </w:style>
  <w:style w:type="paragraph" w:customStyle="1" w:styleId="Bod">
    <w:name w:val="Bod"/>
    <w:basedOn w:val="Normal"/>
    <w:pPr>
      <w:spacing w:after="240"/>
      <w:ind w:firstLine="1440"/>
      <w:jc w:val="both"/>
    </w:pPr>
  </w:style>
  <w:style w:type="character" w:styleId="PageNumber">
    <w:name w:val="page number"/>
    <w:rPr>
      <w:rFonts w:ascii="Times New Roman" w:hAnsi="Times New Roman"/>
      <w:sz w:val="24"/>
    </w:rPr>
  </w:style>
  <w:style w:type="paragraph" w:styleId="Footer">
    <w:name w:val="footer"/>
    <w:basedOn w:val="Normal"/>
    <w:link w:val="FooterChar"/>
    <w:uiPriority w:val="99"/>
    <w:pPr>
      <w:tabs>
        <w:tab w:val="center" w:pos="4680"/>
        <w:tab w:val="right" w:pos="9360"/>
      </w:tabs>
    </w:pPr>
    <w:rPr>
      <w:sz w:val="16"/>
    </w:rPr>
  </w:style>
  <w:style w:type="paragraph" w:styleId="Header">
    <w:name w:val="header"/>
    <w:basedOn w:val="Normal"/>
    <w:pPr>
      <w:tabs>
        <w:tab w:val="left" w:pos="4320"/>
        <w:tab w:val="left" w:pos="8640"/>
      </w:tabs>
    </w:pPr>
  </w:style>
  <w:style w:type="paragraph" w:customStyle="1" w:styleId="COMMENT">
    <w:name w:val="COMMENT"/>
    <w:basedOn w:val="Bod"/>
    <w:pPr>
      <w:ind w:left="720" w:right="720" w:firstLine="0"/>
    </w:pPr>
    <w:rPr>
      <w:i/>
    </w:rPr>
  </w:style>
  <w:style w:type="paragraph" w:styleId="Title">
    <w:name w:val="Title"/>
    <w:basedOn w:val="Normal"/>
    <w:qFormat/>
    <w:pPr>
      <w:spacing w:after="600"/>
      <w:jc w:val="center"/>
    </w:pPr>
    <w:rPr>
      <w:b/>
    </w:rPr>
  </w:style>
  <w:style w:type="paragraph" w:customStyle="1" w:styleId="Address">
    <w:name w:val="Address"/>
    <w:basedOn w:val="Normal"/>
    <w:rsid w:val="00E606A8"/>
    <w:pPr>
      <w:keepLines/>
      <w:tabs>
        <w:tab w:val="left" w:pos="4680"/>
        <w:tab w:val="left" w:pos="9360"/>
      </w:tabs>
      <w:spacing w:after="480"/>
      <w:ind w:left="3600"/>
    </w:pPr>
  </w:style>
  <w:style w:type="paragraph" w:customStyle="1" w:styleId="Company-1">
    <w:name w:val="Company-1"/>
    <w:basedOn w:val="Normal"/>
    <w:rsid w:val="00E606A8"/>
    <w:pPr>
      <w:keepLines/>
      <w:tabs>
        <w:tab w:val="left" w:pos="5310"/>
        <w:tab w:val="left" w:pos="9360"/>
      </w:tabs>
      <w:spacing w:after="480"/>
      <w:ind w:left="4680"/>
    </w:pPr>
  </w:style>
  <w:style w:type="paragraph" w:customStyle="1" w:styleId="Company-2">
    <w:name w:val="Company-2"/>
    <w:basedOn w:val="Normal"/>
    <w:rsid w:val="00E606A8"/>
    <w:pPr>
      <w:keepLines/>
      <w:tabs>
        <w:tab w:val="left" w:pos="630"/>
        <w:tab w:val="left" w:pos="4140"/>
        <w:tab w:val="left" w:pos="4680"/>
        <w:tab w:val="left" w:pos="5310"/>
        <w:tab w:val="left" w:pos="9270"/>
      </w:tabs>
      <w:spacing w:after="480"/>
    </w:pPr>
  </w:style>
  <w:style w:type="character" w:customStyle="1" w:styleId="Heading1Char">
    <w:name w:val="Heading 1 Char"/>
    <w:basedOn w:val="DefaultParagraphFont"/>
    <w:link w:val="Heading1"/>
    <w:rsid w:val="00652D31"/>
    <w:rPr>
      <w:sz w:val="24"/>
    </w:rPr>
  </w:style>
  <w:style w:type="character" w:customStyle="1" w:styleId="FooterChar">
    <w:name w:val="Footer Char"/>
    <w:basedOn w:val="DefaultParagraphFont"/>
    <w:link w:val="Footer"/>
    <w:uiPriority w:val="99"/>
    <w:rsid w:val="006A58D0"/>
    <w:rPr>
      <w:sz w:val="16"/>
    </w:rPr>
  </w:style>
  <w:style w:type="paragraph" w:styleId="NormalWeb">
    <w:name w:val="Normal (Web)"/>
    <w:basedOn w:val="Normal"/>
    <w:uiPriority w:val="99"/>
    <w:semiHidden/>
    <w:unhideWhenUsed/>
    <w:rsid w:val="00FE28A3"/>
    <w:pPr>
      <w:suppressAutoHyphens w:val="0"/>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991918">
      <w:bodyDiv w:val="1"/>
      <w:marLeft w:val="0"/>
      <w:marRight w:val="0"/>
      <w:marTop w:val="0"/>
      <w:marBottom w:val="0"/>
      <w:divBdr>
        <w:top w:val="none" w:sz="0" w:space="0" w:color="auto"/>
        <w:left w:val="none" w:sz="0" w:space="0" w:color="auto"/>
        <w:bottom w:val="none" w:sz="0" w:space="0" w:color="auto"/>
        <w:right w:val="none" w:sz="0" w:space="0" w:color="auto"/>
      </w:divBdr>
    </w:div>
    <w:div w:id="1853714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Marotta</dc:creator>
  <cp:lastModifiedBy>Paul Marotta</cp:lastModifiedBy>
  <cp:revision>4</cp:revision>
  <dcterms:created xsi:type="dcterms:W3CDTF">2025-03-08T17:30:00Z</dcterms:created>
  <dcterms:modified xsi:type="dcterms:W3CDTF">2025-03-08T17:36:00Z</dcterms:modified>
</cp:coreProperties>
</file>